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56" w:rsidRDefault="000F0B56" w:rsidP="000F0B56">
      <w:pPr>
        <w:pStyle w:val="1"/>
      </w:pPr>
      <w:bookmarkStart w:id="0" w:name="sub_260"/>
      <w:r>
        <w:t xml:space="preserve">Практика применения законодательства </w:t>
      </w:r>
      <w:bookmarkStart w:id="1" w:name="_GoBack"/>
      <w:r>
        <w:t>о государственных и корпоративных закупках</w:t>
      </w:r>
      <w:bookmarkEnd w:id="1"/>
    </w:p>
    <w:bookmarkEnd w:id="0"/>
    <w:p w:rsidR="000F0B56" w:rsidRDefault="000F0B56" w:rsidP="000F0B56"/>
    <w:p w:rsidR="000F0B56" w:rsidRDefault="000F0B56" w:rsidP="000F0B56">
      <w:bookmarkStart w:id="2" w:name="sub_23"/>
      <w:r>
        <w:rPr>
          <w:rStyle w:val="a3"/>
        </w:rPr>
        <w:t>23. Целесообразность установления в закупочной документации тех или иных требований к участникам, а также критериев оценки поступающих от участников предложений не может выступать в качестве самостоятельного предмета оценки антимонопольного органа.</w:t>
      </w:r>
    </w:p>
    <w:bookmarkEnd w:id="2"/>
    <w:p w:rsidR="000F0B56" w:rsidRDefault="000F0B56" w:rsidP="000F0B56">
      <w:r>
        <w:t>Заказчиком проведен конкурс в электронной форме на право заключения договора на выполнение работ по реновации модуля единого территориально-распределительного корпоративного центра обработки данных. В конкурсной документации заказчик установил порядок сопоставления и оценки заявок по критерию "цена договора" путем присвоения баллов участникам в зависимости от уровня уменьшения начальной (максимальной) цены договора.</w:t>
      </w:r>
    </w:p>
    <w:p w:rsidR="000F0B56" w:rsidRDefault="000F0B56" w:rsidP="000F0B56">
      <w:r>
        <w:t xml:space="preserve">По результатам рассмотрения жалобы участника закупки антимонопольный орган пришел к выводу о нарушении заказчиком </w:t>
      </w:r>
      <w:hyperlink r:id="rId4" w:history="1">
        <w:r>
          <w:rPr>
            <w:rStyle w:val="a4"/>
          </w:rPr>
          <w:t>п. 3 ч. 1 ст. 3</w:t>
        </w:r>
      </w:hyperlink>
      <w:r>
        <w:t xml:space="preserve"> Федерального закона от 18 июля 2011 г. N 223-ФЗ "О закупках товаров, работ, услуг отдельными видами юридических лиц" (далее - Закон N 223-ФЗ), поскольку установленный заказчиком порядок оценки и сопоставления заявок по критерию "цена договора" не соответствует принципу целевого и экономически эффективного расходования денежных средств. На этом основании антимонопольный орган выдал заказчику предписание об устранении допущенных нарушений.</w:t>
      </w:r>
    </w:p>
    <w:p w:rsidR="000F0B56" w:rsidRDefault="000F0B56" w:rsidP="000F0B56">
      <w:r>
        <w:t>Не согласившись с предписанием антимонопольного органа, заказчик обратился в арбитражный суд с заявлением о признании его незаконным.</w:t>
      </w:r>
    </w:p>
    <w:p w:rsidR="000F0B56" w:rsidRDefault="000F0B56" w:rsidP="000F0B56">
      <w:hyperlink r:id="rId5" w:history="1">
        <w:r>
          <w:rPr>
            <w:rStyle w:val="a4"/>
          </w:rPr>
          <w:t>Решением</w:t>
        </w:r>
      </w:hyperlink>
      <w:r>
        <w:t xml:space="preserve"> суда первой инстанции, оставленным без изменения постановлениями суда апелляционной и кассационной инстанций, в удовлетворении заявленных требований отказано.</w:t>
      </w:r>
    </w:p>
    <w:p w:rsidR="000F0B56" w:rsidRDefault="000F0B56" w:rsidP="000F0B56">
      <w:r>
        <w:t>Судебная коллегия Верховного Суда отменила названные судебные акты и удовлетворила требование заказчика, обратив внимание на следующее.</w:t>
      </w:r>
    </w:p>
    <w:p w:rsidR="000F0B56" w:rsidRDefault="000F0B56" w:rsidP="000F0B56">
      <w:r>
        <w:t xml:space="preserve">На основании </w:t>
      </w:r>
      <w:hyperlink r:id="rId6" w:history="1">
        <w:r>
          <w:rPr>
            <w:rStyle w:val="a4"/>
          </w:rPr>
          <w:t>ч. 2 ст. 2</w:t>
        </w:r>
      </w:hyperlink>
      <w:r>
        <w:t xml:space="preserve"> Закона N 223-ФЗ основным документом, регламентирующим закупочную деятельность заказчика является положение о закупке, которое должно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0F0B56" w:rsidRDefault="000F0B56" w:rsidP="000F0B56">
      <w:r>
        <w:t xml:space="preserve">Заказчикам предоставлено право сформировать свою систему закупок в зависимости от особенностей осуществления деятельности, установив при необходимости дополнительные требования к участникам закупки. Данное право согласуется с целями и задачами </w:t>
      </w:r>
      <w:hyperlink r:id="rId7" w:history="1">
        <w:r>
          <w:rPr>
            <w:rStyle w:val="a4"/>
          </w:rPr>
          <w:t>Закона</w:t>
        </w:r>
      </w:hyperlink>
      <w:r>
        <w:t xml:space="preserve"> N 223-ФЗ, направленного в первую очередь на выявление в результате закупочных процедур лица, исполнение контракта которым в наибольшей степени будет отвечать целям эффективного использования источников финансирования, удовлетворения потребности заказчиков в товарах, работах, услугах с необходимыми показателями цены, качества и надежности.</w:t>
      </w:r>
    </w:p>
    <w:p w:rsidR="000F0B56" w:rsidRDefault="000F0B56" w:rsidP="000F0B56">
      <w:r>
        <w:t>Исходя из изложенного целесообразность установления в закупочной документации тех или иных требований к участникам, критериев оценки поступающих от участников предложений не может выступать в качестве самостоятельного предмета оценки антимонопольного органа.</w:t>
      </w:r>
    </w:p>
    <w:p w:rsidR="000F0B56" w:rsidRDefault="000F0B56" w:rsidP="000F0B56">
      <w:r>
        <w:t xml:space="preserve">Утверждая, что установленные заказчиком критерии оценки заявок участников не отвечают требованиям </w:t>
      </w:r>
      <w:hyperlink r:id="rId8" w:history="1">
        <w:r>
          <w:rPr>
            <w:rStyle w:val="a4"/>
          </w:rPr>
          <w:t>п. 3 ч. 1 ст. 3</w:t>
        </w:r>
      </w:hyperlink>
      <w:r>
        <w:t xml:space="preserve"> Закона N 223-ФЗ, антимонопольный орган ограничился тем, что охарактеризовал спорный порядок оценки заявок как нецелесообразный, экономически неэффективный и не опроверг разумность спорного условия закупочной документации.</w:t>
      </w:r>
    </w:p>
    <w:p w:rsidR="000F0B56" w:rsidRDefault="000F0B56" w:rsidP="000F0B56">
      <w:r>
        <w:t xml:space="preserve">Однако установление заказчиком особого порядка расчета баллов по критерию "цена договора" в целях предотвращения необоснованного снижения начальной цены </w:t>
      </w:r>
      <w:r>
        <w:lastRenderedPageBreak/>
        <w:t xml:space="preserve">договора не противоречит требованиям </w:t>
      </w:r>
      <w:hyperlink r:id="rId9" w:history="1">
        <w:r>
          <w:rPr>
            <w:rStyle w:val="a4"/>
          </w:rPr>
          <w:t>п. 3 ч. 1 ст. 3</w:t>
        </w:r>
      </w:hyperlink>
      <w:r>
        <w:t xml:space="preserve"> Закона N 223-ФЗ в той мере, в какой позволяет сократить разрыв между участниками, предложившими заниженную цену, и участниками, предложившими цену в пределах допустимого процента снижения; обеспечивает выявление наиболее выгодного предложения участника и при этом позволяет избежать существенных убытков заказчика, связанных с неисполнением или некачественным исполнением победителем своих обязательств по договору.</w:t>
      </w:r>
    </w:p>
    <w:p w:rsidR="000F0B56" w:rsidRDefault="000F0B56" w:rsidP="000F0B56">
      <w:r>
        <w:t xml:space="preserve">Следовательно, достаточные основания для удовлетворения жалобы участника закупки в части установления неправомерного порядка оценки по ценовому критерию, предусмотренные </w:t>
      </w:r>
      <w:hyperlink r:id="rId10" w:history="1">
        <w:r>
          <w:rPr>
            <w:rStyle w:val="a4"/>
          </w:rPr>
          <w:t>п. 3 ч. 1 ст. 3</w:t>
        </w:r>
      </w:hyperlink>
      <w:r>
        <w:t xml:space="preserve"> Закона N 223-ФЗ, в рассматриваемом случае отсутствовали, а суды неправомерно отказали заказчику в удовлетворении заявленных требований, признав ненормативные правовые акты антимонопольного органа в обжалуемой части законными.</w:t>
      </w:r>
    </w:p>
    <w:p w:rsidR="000F0B56" w:rsidRDefault="000F0B56" w:rsidP="000F0B56"/>
    <w:p w:rsidR="000F0B56" w:rsidRDefault="000F0B56" w:rsidP="000F0B56">
      <w:pPr>
        <w:ind w:firstLine="698"/>
        <w:jc w:val="right"/>
      </w:pPr>
      <w:hyperlink r:id="rId11" w:history="1">
        <w:r>
          <w:rPr>
            <w:rStyle w:val="a4"/>
          </w:rPr>
          <w:t>Определение</w:t>
        </w:r>
      </w:hyperlink>
      <w:r>
        <w:t xml:space="preserve"> N 305-ЭС21-5801</w:t>
      </w:r>
    </w:p>
    <w:p w:rsidR="000F0B56" w:rsidRDefault="000F0B56" w:rsidP="000F0B56"/>
    <w:p w:rsidR="000F0B56" w:rsidRDefault="000F0B56" w:rsidP="000F0B56">
      <w:bookmarkStart w:id="3" w:name="sub_24"/>
      <w:r>
        <w:rPr>
          <w:rStyle w:val="a3"/>
        </w:rPr>
        <w:t>24. Заказчик по государственному контракту не вправе отказываться от оплаты работ (возмещения стоимости использованных материалов), если необходимость их выполнения с отступлением от условий контракта вызвана его недобросовестными действиями.</w:t>
      </w:r>
    </w:p>
    <w:bookmarkEnd w:id="3"/>
    <w:p w:rsidR="000F0B56" w:rsidRDefault="000F0B56" w:rsidP="000F0B56">
      <w:r>
        <w:t>Между обществом и казенным учреждением заключен государственный контракт по переработке давальческого сырья (древесины) в твердое топливо (дрова топливные) с доставкой до грузополучателей - воинских частей.</w:t>
      </w:r>
    </w:p>
    <w:p w:rsidR="000F0B56" w:rsidRDefault="000F0B56" w:rsidP="000F0B56">
      <w:r>
        <w:t>Позднее общество обратилось к представителям казенного учреждения - лесничествам для получения давальческого сырья (древесины). Однако лесничества сообщили об отсутствии сырья, в связи с чем обеспечить работы не смогли, контракт был исполнен обществом за счет использования собственного сырья.</w:t>
      </w:r>
    </w:p>
    <w:p w:rsidR="000F0B56" w:rsidRDefault="000F0B56" w:rsidP="000F0B56">
      <w:r>
        <w:t>Возникшие между сторонами контракта разногласия по оплате выполненных работ привели к обращению общества в арбитражный суд с иском о взыскании их стоимости.</w:t>
      </w:r>
    </w:p>
    <w:p w:rsidR="000F0B56" w:rsidRDefault="000F0B56" w:rsidP="000F0B56">
      <w:hyperlink r:id="rId12" w:history="1">
        <w:r>
          <w:rPr>
            <w:rStyle w:val="a4"/>
          </w:rPr>
          <w:t>Решением</w:t>
        </w:r>
      </w:hyperlink>
      <w:r>
        <w:t xml:space="preserve"> суда первой инстанции, оставленным без изменения постановлениями суда апелляционной и кассационной инстанций, в удовлетворении заявления отказано.</w:t>
      </w:r>
    </w:p>
    <w:p w:rsidR="000F0B56" w:rsidRDefault="000F0B56" w:rsidP="000F0B56">
      <w:r>
        <w:t>Судебная коллегия Верховного Суда отменила названные судебные акты и направила дело на новое рассмотрение по следующим основаниям.</w:t>
      </w:r>
    </w:p>
    <w:p w:rsidR="000F0B56" w:rsidRDefault="000F0B56" w:rsidP="000F0B56">
      <w:r>
        <w:t xml:space="preserve">В силу </w:t>
      </w:r>
      <w:hyperlink r:id="rId13" w:history="1">
        <w:r>
          <w:rPr>
            <w:rStyle w:val="a4"/>
          </w:rPr>
          <w:t>п. 3 ст. 1</w:t>
        </w:r>
      </w:hyperlink>
      <w:r>
        <w:t xml:space="preserve"> ГК РФ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0F0B56" w:rsidRDefault="000F0B56" w:rsidP="000F0B56">
      <w:r>
        <w:t>Договор, по которому сторона должна получить плату или иное встречное предоставление за исполнение своих обязанностей, является возмездным (</w:t>
      </w:r>
      <w:hyperlink r:id="rId14" w:history="1">
        <w:r>
          <w:rPr>
            <w:rStyle w:val="a4"/>
          </w:rPr>
          <w:t>п. 1 ст. 423</w:t>
        </w:r>
      </w:hyperlink>
      <w:r>
        <w:t xml:space="preserve"> ГК РФ).</w:t>
      </w:r>
    </w:p>
    <w:p w:rsidR="000F0B56" w:rsidRDefault="000F0B56" w:rsidP="000F0B56">
      <w:r>
        <w:t>Несоблюдение принципа возмездного исполнения в тех случаях, когда такое исполнение предполагается из содержания договора и норм закона, приводит к незаконному обогащению одного лица и произвольному лишению собственности (имущества, денежных средств) другого лица.</w:t>
      </w:r>
    </w:p>
    <w:p w:rsidR="000F0B56" w:rsidRDefault="000F0B56" w:rsidP="000F0B56">
      <w:r>
        <w:t xml:space="preserve">Как установили суды, общество изготовило дрова из собственного сырья, дрова приняты потребителями (воинскими частями) и использованы ими в своей деятельности. Однако баланс имущественных прав сторон не восстановлен судами, поскольку учреждение, фактически воспользовавшись результатами произведенного в его пользу исполнения, оплату не произвело, что, в свою очередь, свидетельствует о нарушении принципа </w:t>
      </w:r>
      <w:proofErr w:type="spellStart"/>
      <w:r>
        <w:t>возмездности</w:t>
      </w:r>
      <w:proofErr w:type="spellEnd"/>
      <w:r>
        <w:t>, об обогащении заказчика.</w:t>
      </w:r>
    </w:p>
    <w:p w:rsidR="000F0B56" w:rsidRDefault="000F0B56" w:rsidP="000F0B56">
      <w:r>
        <w:t xml:space="preserve">Ссылаясь на недобросовестное поведение общества, суды не дали надлежащей оценки указанным действиям учреждения, а также обстоятельствам, на которые ссылалось общество, а именно на получение им представления и писем органов военной прокуратуры, в которых содержались требования о немедленном исполнении обязательств, </w:t>
      </w:r>
      <w:r>
        <w:lastRenderedPageBreak/>
        <w:t>установленных контрактом (поставке топлива в воинские части).</w:t>
      </w:r>
    </w:p>
    <w:p w:rsidR="000F0B56" w:rsidRDefault="000F0B56" w:rsidP="000F0B56"/>
    <w:p w:rsidR="000F0B56" w:rsidRDefault="000F0B56" w:rsidP="000F0B56">
      <w:pPr>
        <w:ind w:firstLine="698"/>
        <w:jc w:val="right"/>
      </w:pPr>
      <w:hyperlink r:id="rId15" w:history="1">
        <w:r>
          <w:rPr>
            <w:rStyle w:val="a4"/>
          </w:rPr>
          <w:t>Определение</w:t>
        </w:r>
      </w:hyperlink>
      <w:r>
        <w:t xml:space="preserve"> N 305-ЭС21-4544</w:t>
      </w:r>
    </w:p>
    <w:p w:rsidR="000F0B56" w:rsidRDefault="000F0B56" w:rsidP="000F0B56"/>
    <w:p w:rsidR="00E31085" w:rsidRDefault="00E31085"/>
    <w:sectPr w:rsidR="00E3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B"/>
    <w:rsid w:val="000F0B56"/>
    <w:rsid w:val="003B50CB"/>
    <w:rsid w:val="00E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85BB-E779-45FA-8CD5-BEF86B05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B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B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0B5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0B5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88083/313" TargetMode="External"/><Relationship Id="rId13" Type="http://schemas.openxmlformats.org/officeDocument/2006/relationships/hyperlink" Target="http://ivo.garant.ru/document/redirect/10164072/13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2188083/0" TargetMode="External"/><Relationship Id="rId12" Type="http://schemas.openxmlformats.org/officeDocument/2006/relationships/hyperlink" Target="http://ivo.garant.ru/document/redirect/98761839/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88083/22" TargetMode="External"/><Relationship Id="rId11" Type="http://schemas.openxmlformats.org/officeDocument/2006/relationships/hyperlink" Target="http://ivo.garant.ru/document/redirect/401598416/0" TargetMode="External"/><Relationship Id="rId5" Type="http://schemas.openxmlformats.org/officeDocument/2006/relationships/hyperlink" Target="http://ivo.garant.ru/document/redirect/98428314/0" TargetMode="External"/><Relationship Id="rId15" Type="http://schemas.openxmlformats.org/officeDocument/2006/relationships/hyperlink" Target="http://ivo.garant.ru/document/redirect/401519484/0" TargetMode="External"/><Relationship Id="rId10" Type="http://schemas.openxmlformats.org/officeDocument/2006/relationships/hyperlink" Target="http://ivo.garant.ru/document/redirect/12188083/313" TargetMode="External"/><Relationship Id="rId4" Type="http://schemas.openxmlformats.org/officeDocument/2006/relationships/hyperlink" Target="http://ivo.garant.ru/document/redirect/12188083/313" TargetMode="External"/><Relationship Id="rId9" Type="http://schemas.openxmlformats.org/officeDocument/2006/relationships/hyperlink" Target="http://ivo.garant.ru/document/redirect/12188083/313" TargetMode="External"/><Relationship Id="rId14" Type="http://schemas.openxmlformats.org/officeDocument/2006/relationships/hyperlink" Target="http://ivo.garant.ru/document/redirect/10164072/4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6696</Characters>
  <Application>Microsoft Office Word</Application>
  <DocSecurity>0</DocSecurity>
  <Lines>55</Lines>
  <Paragraphs>15</Paragraphs>
  <ScaleCrop>false</ScaleCrop>
  <Company>ИДПО "Госзаказ"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Владиславовна Саликова</dc:creator>
  <cp:keywords/>
  <dc:description/>
  <cp:lastModifiedBy>Мария Владиславовна Саликова</cp:lastModifiedBy>
  <cp:revision>2</cp:revision>
  <dcterms:created xsi:type="dcterms:W3CDTF">2022-02-21T03:42:00Z</dcterms:created>
  <dcterms:modified xsi:type="dcterms:W3CDTF">2022-02-21T03:43:00Z</dcterms:modified>
</cp:coreProperties>
</file>